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Gwara Media is an independent portal that is not funded by political organizations or forces. In 2022, the project budget consisted of: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1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220"/>
        <w:gridCol w:w="780"/>
        <w:gridCol w:w="720"/>
        <w:gridCol w:w="660"/>
        <w:gridCol w:w="720"/>
        <w:tblGridChange w:id="0">
          <w:tblGrid>
            <w:gridCol w:w="5220"/>
            <w:gridCol w:w="780"/>
            <w:gridCol w:w="720"/>
            <w:gridCol w:w="660"/>
            <w:gridCol w:w="720"/>
          </w:tblGrid>
        </w:tblGridChange>
      </w:tblGrid>
      <w:tr>
        <w:trPr>
          <w:cantSplit w:val="0"/>
          <w:trHeight w:val="285" w:hRule="atLeast"/>
          <w:tblHeader w:val="0"/>
        </w:trPr>
        <w:tc>
          <w:tcPr>
            <w:vMerge w:val="restart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2dbdb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Sources of funding (cash based)</w:t>
            </w:r>
          </w:p>
        </w:tc>
        <w:tc>
          <w:tcPr>
            <w:gridSpan w:val="2"/>
            <w:tcBorders>
              <w:top w:color="000000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2dbdb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4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2022</w:t>
            </w:r>
          </w:p>
        </w:tc>
        <w:tc>
          <w:tcPr>
            <w:gridSpan w:val="2"/>
            <w:tcBorders>
              <w:top w:color="000000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2dbdb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6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2023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vMerge w:val="continue"/>
            <w:tcBorders>
              <w:bottom w:color="000000" w:space="0" w:sz="5" w:val="single"/>
              <w:right w:color="000000" w:space="0" w:sz="5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2dbdb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9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EUR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2dbdb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A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%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2dbdb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B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EUR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2dbdb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%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5" w:val="single"/>
              <w:left w:color="000000" w:space="0" w:sz="5" w:val="single"/>
              <w:bottom w:color="cccccc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Donors Funds - Projects kicked of in 2022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4" w:val="single"/>
              <w:right w:color="000000" w:space="0" w:sz="5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119500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4" w:val="single"/>
              <w:right w:color="000000" w:space="0" w:sz="5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91,92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4" w:val="single"/>
              <w:right w:color="000000" w:space="0" w:sz="5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50000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4" w:val="single"/>
              <w:right w:color="cccccc" w:space="0" w:sz="5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96,39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5" w:val="single"/>
              <w:left w:color="000000" w:space="0" w:sz="5" w:val="single"/>
              <w:bottom w:color="cccccc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State funding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4" w:val="single"/>
              <w:right w:color="000000" w:space="0" w:sz="5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4" w:val="single"/>
              <w:right w:color="000000" w:space="0" w:sz="5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0,00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4" w:val="single"/>
              <w:right w:color="000000" w:space="0" w:sz="5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4" w:val="single"/>
              <w:right w:color="cccccc" w:space="0" w:sz="5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0,00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5" w:val="single"/>
              <w:left w:color="000000" w:space="0" w:sz="5" w:val="single"/>
              <w:bottom w:color="cccccc" w:space="0" w:sz="5" w:val="single"/>
              <w:right w:color="000000" w:space="0" w:sz="5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Advertising and Subscription Revenue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4" w:val="single"/>
              <w:right w:color="000000" w:space="0" w:sz="5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3000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4" w:val="single"/>
              <w:right w:color="000000" w:space="0" w:sz="5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2,31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4" w:val="single"/>
              <w:right w:color="000000" w:space="0" w:sz="5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175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4" w:val="single"/>
              <w:right w:color="cccccc" w:space="0" w:sz="5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0,34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5" w:val="single"/>
              <w:left w:color="000000" w:space="0" w:sz="5" w:val="single"/>
              <w:bottom w:color="000000" w:space="0" w:sz="14" w:val="single"/>
              <w:right w:color="000000" w:space="0" w:sz="5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Funds coming from other sources (services)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4" w:val="single"/>
              <w:right w:color="000000" w:space="0" w:sz="5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7500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4" w:val="single"/>
              <w:right w:color="000000" w:space="0" w:sz="5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5,77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4" w:val="single"/>
              <w:right w:color="000000" w:space="0" w:sz="5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1700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4" w:val="single"/>
              <w:right w:color="cccccc" w:space="0" w:sz="5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3,28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2dbdb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Total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2dbdb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130000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2dbdb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100,00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2dbdb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51875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000000" w:space="0" w:sz="5" w:val="single"/>
            </w:tcBorders>
            <w:shd w:fill="f2dbdb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100,00</w:t>
            </w:r>
          </w:p>
        </w:tc>
      </w:tr>
    </w:tbl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025.51181102362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51.7190659632397"/>
        <w:gridCol w:w="5076.041075927203"/>
        <w:gridCol w:w="880.5377376608412"/>
        <w:gridCol w:w="1217.2139314723395"/>
        <w:tblGridChange w:id="0">
          <w:tblGrid>
            <w:gridCol w:w="1851.7190659632397"/>
            <w:gridCol w:w="5076.041075927203"/>
            <w:gridCol w:w="880.5377376608412"/>
            <w:gridCol w:w="1217.2139314723395"/>
          </w:tblGrid>
        </w:tblGridChange>
      </w:tblGrid>
      <w:tr>
        <w:trPr>
          <w:cantSplit w:val="0"/>
          <w:trHeight w:val="570" w:hRule="atLeast"/>
          <w:tblHeader w:val="0"/>
        </w:trPr>
        <w:tc>
          <w:tcPr>
            <w:tcBorders>
              <w:top w:color="000000" w:space="0" w:sz="10" w:val="single"/>
              <w:left w:color="000000" w:space="0" w:sz="10" w:val="single"/>
              <w:bottom w:color="000000" w:space="0" w:sz="10" w:val="single"/>
              <w:right w:color="cccccc" w:space="0" w:sz="10" w:val="single"/>
            </w:tcBorders>
            <w:shd w:fill="a5a5a5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0" w:val="single"/>
              <w:left w:color="cccccc" w:space="0" w:sz="5" w:val="single"/>
              <w:bottom w:color="000000" w:space="0" w:sz="10" w:val="single"/>
              <w:right w:color="cccccc" w:space="0" w:sz="10" w:val="single"/>
            </w:tcBorders>
            <w:shd w:fill="a5a5a5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rPr/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Source of funding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0" w:val="single"/>
              <w:left w:color="cccccc" w:space="0" w:sz="5" w:val="single"/>
              <w:bottom w:color="000000" w:space="0" w:sz="10" w:val="single"/>
              <w:right w:color="cccccc" w:space="0" w:sz="10" w:val="single"/>
            </w:tcBorders>
            <w:shd w:fill="a5a5a5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jc w:val="center"/>
              <w:rPr/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Amount (EUR)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0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shd w:fill="a5a5a5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jc w:val="center"/>
              <w:rPr/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Percentage (%)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5" w:val="single"/>
              <w:left w:color="000000" w:space="0" w:sz="10" w:val="single"/>
              <w:bottom w:color="000000" w:space="0" w:sz="10" w:val="single"/>
              <w:right w:color="000000" w:space="0" w:sz="10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Duration from - 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ccccc" w:space="0" w:sz="5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Donors Funds - Projects kicked of in 2022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2f2f2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widowControl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3.12-5.12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cccccc" w:space="0" w:sz="10" w:val="single"/>
            </w:tcBorders>
            <w:shd w:fill="f2f2f2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widowControl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shd w:fill="f2f2f2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widowControl w:val="0"/>
              <w:jc w:val="righ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widowControl w:val="0"/>
              <w:jc w:val="righ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25,10%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2f2f2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widowControl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08.12-10.12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cccccc" w:space="0" w:sz="10" w:val="single"/>
            </w:tcBorders>
            <w:shd w:fill="f2f2f2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widowControl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IWPR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shd w:fill="f2f2f2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widowControl w:val="0"/>
              <w:jc w:val="righ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19500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widowControl w:val="0"/>
              <w:jc w:val="righ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16,32%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f2f2f2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widowControl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05.22-08.22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5" w:val="single"/>
              <w:right w:color="cccccc" w:space="0" w:sz="10" w:val="single"/>
            </w:tcBorders>
            <w:shd w:fill="f2f2f2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widowControl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shd w:fill="f2f2f2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A">
            <w:pPr>
              <w:widowControl w:val="0"/>
              <w:jc w:val="righ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25000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B">
            <w:pPr>
              <w:widowControl w:val="0"/>
              <w:jc w:val="righ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20,92%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5" w:val="single"/>
              <w:left w:color="000000" w:space="0" w:sz="5" w:val="single"/>
              <w:bottom w:color="000000" w:space="0" w:sz="10" w:val="single"/>
              <w:right w:color="000000" w:space="0" w:sz="5" w:val="single"/>
            </w:tcBorders>
            <w:shd w:fill="f2f2f2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widowControl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12.22 - 04.23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0" w:val="single"/>
              <w:right w:color="cccccc" w:space="0" w:sz="10" w:val="single"/>
            </w:tcBorders>
            <w:shd w:fill="f2f2f2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widowControl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EED 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shd w:fill="f2f2f2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widowControl w:val="0"/>
              <w:jc w:val="righ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45000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F">
            <w:pPr>
              <w:widowControl w:val="0"/>
              <w:jc w:val="righ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37,66%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2"/>
            <w:tcBorders>
              <w:top w:color="cccccc" w:space="0" w:sz="5" w:val="single"/>
              <w:left w:color="000000" w:space="0" w:sz="10" w:val="single"/>
              <w:bottom w:color="000000" w:space="0" w:sz="10" w:val="single"/>
              <w:right w:color="000000" w:space="0" w:sz="10" w:val="single"/>
            </w:tcBorders>
            <w:shd w:fill="deeaf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widowControl w:val="0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shd w:fill="deeaf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widowControl w:val="0"/>
              <w:jc w:val="right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119500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shd w:fill="deeaf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3">
            <w:pPr>
              <w:widowControl w:val="0"/>
              <w:jc w:val="right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100,00%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gridSpan w:val="4"/>
            <w:tcBorders>
              <w:top w:color="cccccc" w:space="0" w:sz="5" w:val="single"/>
              <w:left w:color="000000" w:space="0" w:sz="10" w:val="single"/>
              <w:bottom w:color="000000" w:space="0" w:sz="10" w:val="single"/>
              <w:right w:color="000000" w:space="0" w:sz="10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5" w:val="single"/>
              <w:left w:color="000000" w:space="0" w:sz="10" w:val="single"/>
              <w:bottom w:color="000000" w:space="0" w:sz="10" w:val="single"/>
              <w:right w:color="000000" w:space="0" w:sz="10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widowControl w:val="0"/>
              <w:jc w:val="right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ccccc" w:space="0" w:sz="5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widowControl w:val="0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State funding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5" w:val="single"/>
              <w:left w:color="000000" w:space="0" w:sz="10" w:val="single"/>
              <w:bottom w:color="000000" w:space="0" w:sz="10" w:val="single"/>
              <w:right w:color="000000" w:space="0" w:sz="10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shd w:fill="f2f2f2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shd w:fill="f2f2f2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F">
            <w:pPr>
              <w:widowControl w:val="0"/>
              <w:jc w:val="righ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0,00%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2"/>
            <w:tcBorders>
              <w:top w:color="cccccc" w:space="0" w:sz="5" w:val="single"/>
              <w:left w:color="000000" w:space="0" w:sz="10" w:val="single"/>
              <w:bottom w:color="000000" w:space="0" w:sz="10" w:val="single"/>
              <w:right w:color="000000" w:space="0" w:sz="10" w:val="single"/>
            </w:tcBorders>
            <w:shd w:fill="deeaf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shd w:fill="deeaf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jc w:val="right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shd w:fill="deeaf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3">
            <w:pPr>
              <w:widowControl w:val="0"/>
              <w:jc w:val="right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0,00%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gridSpan w:val="4"/>
            <w:tcBorders>
              <w:top w:color="cccccc" w:space="0" w:sz="5" w:val="single"/>
              <w:left w:color="000000" w:space="0" w:sz="10" w:val="single"/>
              <w:bottom w:color="000000" w:space="0" w:sz="10" w:val="single"/>
              <w:right w:color="000000" w:space="0" w:sz="10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5" w:val="single"/>
              <w:left w:color="000000" w:space="0" w:sz="10" w:val="single"/>
              <w:bottom w:color="000000" w:space="0" w:sz="10" w:val="single"/>
              <w:right w:color="000000" w:space="0" w:sz="10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jc w:val="right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ccccc" w:space="0" w:sz="5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widowControl w:val="0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Advertising and Subscription Revenue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5" w:val="single"/>
              <w:left w:color="000000" w:space="0" w:sz="10" w:val="single"/>
              <w:bottom w:color="000000" w:space="0" w:sz="10" w:val="single"/>
              <w:right w:color="000000" w:space="0" w:sz="10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jc w:val="righ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shd w:fill="f2f2f2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subscription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shd w:fill="f2f2f2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jc w:val="righ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F">
            <w:pPr>
              <w:widowControl w:val="0"/>
              <w:jc w:val="righ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16,67%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5" w:val="single"/>
              <w:left w:color="000000" w:space="0" w:sz="10" w:val="single"/>
              <w:bottom w:color="000000" w:space="0" w:sz="10" w:val="single"/>
              <w:right w:color="000000" w:space="0" w:sz="10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jc w:val="righ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shd w:fill="f2f2f2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advertising and Subscription Revenue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shd w:fill="f2f2f2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jc w:val="righ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3">
            <w:pPr>
              <w:widowControl w:val="0"/>
              <w:jc w:val="righ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33,33%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5" w:val="single"/>
              <w:left w:color="000000" w:space="0" w:sz="10" w:val="single"/>
              <w:bottom w:color="000000" w:space="0" w:sz="10" w:val="single"/>
              <w:right w:color="000000" w:space="0" w:sz="10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jc w:val="righ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shd w:fill="f2f2f2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donates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shd w:fill="f2f2f2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jc w:val="righ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7">
            <w:pPr>
              <w:widowControl w:val="0"/>
              <w:jc w:val="righ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50,00%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2"/>
            <w:tcBorders>
              <w:top w:color="cccccc" w:space="0" w:sz="5" w:val="single"/>
              <w:left w:color="000000" w:space="0" w:sz="10" w:val="single"/>
              <w:bottom w:color="000000" w:space="0" w:sz="10" w:val="single"/>
              <w:right w:color="000000" w:space="0" w:sz="10" w:val="single"/>
            </w:tcBorders>
            <w:shd w:fill="deeaf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shd w:fill="deeaf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widowControl w:val="0"/>
              <w:jc w:val="right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shd w:fill="deeaf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B">
            <w:pPr>
              <w:widowControl w:val="0"/>
              <w:jc w:val="right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100,00%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gridSpan w:val="4"/>
            <w:tcBorders>
              <w:top w:color="cccccc" w:space="0" w:sz="5" w:val="single"/>
              <w:left w:color="000000" w:space="0" w:sz="10" w:val="single"/>
              <w:bottom w:color="000000" w:space="0" w:sz="10" w:val="single"/>
              <w:right w:color="000000" w:space="0" w:sz="10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5" w:val="single"/>
              <w:left w:color="000000" w:space="0" w:sz="10" w:val="single"/>
              <w:bottom w:color="000000" w:space="0" w:sz="10" w:val="single"/>
              <w:right w:color="000000" w:space="0" w:sz="10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0" w:val="single"/>
              <w:right w:color="cccccc" w:space="0" w:sz="10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0" w:val="single"/>
              <w:right w:color="cccccc" w:space="0" w:sz="10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5" w:val="single"/>
              <w:left w:color="000000" w:space="0" w:sz="10" w:val="single"/>
              <w:bottom w:color="000000" w:space="0" w:sz="10" w:val="single"/>
              <w:right w:color="000000" w:space="0" w:sz="10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widowControl w:val="0"/>
              <w:jc w:val="right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cccccc" w:space="0" w:sz="5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widowControl w:val="0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Funds coming from other sources (please specify)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5" w:val="single"/>
              <w:left w:color="000000" w:space="0" w:sz="10" w:val="single"/>
              <w:bottom w:color="000000" w:space="0" w:sz="10" w:val="single"/>
              <w:right w:color="000000" w:space="0" w:sz="10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shd w:fill="f2f2f2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shd w:fill="f2f2f2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B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cccccc" w:space="0" w:sz="5" w:val="single"/>
              <w:left w:color="000000" w:space="0" w:sz="10" w:val="single"/>
              <w:bottom w:color="000000" w:space="0" w:sz="10" w:val="single"/>
              <w:right w:color="000000" w:space="0" w:sz="10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jc w:val="righ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shd w:fill="f2f2f2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documentary coproduction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shd w:fill="f2f2f2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7500</w:t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F">
            <w:pPr>
              <w:widowControl w:val="0"/>
              <w:jc w:val="right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100,00%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2"/>
            <w:tcBorders>
              <w:top w:color="cccccc" w:space="0" w:sz="5" w:val="single"/>
              <w:left w:color="000000" w:space="0" w:sz="10" w:val="single"/>
              <w:bottom w:color="000000" w:space="0" w:sz="10" w:val="single"/>
              <w:right w:color="000000" w:space="0" w:sz="10" w:val="single"/>
            </w:tcBorders>
            <w:shd w:fill="deeaf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widowControl w:val="0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shd w:fill="deeaf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widowControl w:val="0"/>
              <w:jc w:val="right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7500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shd w:fill="deeaf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3">
            <w:pPr>
              <w:widowControl w:val="0"/>
              <w:jc w:val="right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100,00%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gridSpan w:val="4"/>
            <w:tcBorders>
              <w:top w:color="cccccc" w:space="0" w:sz="5" w:val="single"/>
              <w:left w:color="000000" w:space="0" w:sz="10" w:val="single"/>
              <w:bottom w:color="000000" w:space="0" w:sz="10" w:val="single"/>
              <w:right w:color="000000" w:space="0" w:sz="10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2"/>
            <w:tcBorders>
              <w:top w:color="cccccc" w:space="0" w:sz="5" w:val="single"/>
              <w:left w:color="000000" w:space="0" w:sz="10" w:val="single"/>
              <w:bottom w:color="000000" w:space="0" w:sz="10" w:val="single"/>
              <w:right w:color="000000" w:space="0" w:sz="10" w:val="single"/>
            </w:tcBorders>
            <w:shd w:fill="7f7f7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widowControl w:val="0"/>
              <w:rPr/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Grand 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shd w:fill="7f7f7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widowControl w:val="0"/>
              <w:jc w:val="center"/>
              <w:rPr/>
            </w:pPr>
            <w:r w:rsidDel="00000000" w:rsidR="00000000" w:rsidRPr="00000000">
              <w:rPr>
                <w:b w:val="1"/>
                <w:color w:val="ffffff"/>
                <w:sz w:val="24"/>
                <w:szCs w:val="24"/>
                <w:rtl w:val="0"/>
              </w:rPr>
              <w:t xml:space="preserve">130000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5" w:val="single"/>
              <w:left w:color="cccccc" w:space="0" w:sz="5" w:val="single"/>
              <w:bottom w:color="000000" w:space="0" w:sz="10" w:val="single"/>
              <w:right w:color="000000" w:space="0" w:sz="10" w:val="single"/>
            </w:tcBorders>
            <w:shd w:fill="7f7f7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  <w:t xml:space="preserve">Funds received from political forces or state institutions make up 0,00% of the total budget.</w:t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